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LEMBAR PENGESAHAN</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ind w:firstLine="56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Skripsi yang METODE PENDIDIKAN ANAK DALAM PERSEFEKFTIF HADITS SHAHIH BUKHARI telah diujikan dalam sidang munaqasyah Fakultas Agama Islam Universitas Muhammadiyah Tangerang, pada tanggal 15 Oktober 2015. Skripsi ini telah diterima sebagai salah satu syarat dalam menempuh gelar Sarjana Pendidikan Islam (S.Pd.I)</w:t>
      </w:r>
    </w:p>
    <w:p w:rsidR="00000000" w:rsidDel="00000000" w:rsidP="00000000" w:rsidRDefault="00000000" w:rsidRPr="00000000" w14:paraId="00000004">
      <w:pPr>
        <w:spacing w:line="240" w:lineRule="auto"/>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05">
      <w:pPr>
        <w:spacing w:line="240" w:lineRule="auto"/>
        <w:jc w:val="right"/>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Tangerang, 4 Muharrom 1437 H</w:t>
      </w:r>
    </w:p>
    <w:p w:rsidR="00000000" w:rsidDel="00000000" w:rsidP="00000000" w:rsidRDefault="00000000" w:rsidRPr="00000000" w14:paraId="00000006">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Oktober 2015</w:t>
      </w:r>
    </w:p>
    <w:p w:rsidR="00000000" w:rsidDel="00000000" w:rsidP="00000000" w:rsidRDefault="00000000" w:rsidRPr="00000000" w14:paraId="00000007">
      <w:pPr>
        <w:spacing w:line="240"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ind w:left="2160" w:firstLine="72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Sidang Munaqasyah</w:t>
      </w:r>
    </w:p>
    <w:p w:rsidR="00000000" w:rsidDel="00000000" w:rsidP="00000000" w:rsidRDefault="00000000" w:rsidRPr="00000000" w14:paraId="00000009">
      <w:pPr>
        <w:spacing w:line="240" w:lineRule="auto"/>
        <w:ind w:left="28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Tanda Tangan</w:t>
        <w:tab/>
        <w:t xml:space="preserve">                            Tanggal</w:t>
      </w:r>
    </w:p>
    <w:p w:rsidR="00000000" w:rsidDel="00000000" w:rsidP="00000000" w:rsidRDefault="00000000" w:rsidRPr="00000000" w14:paraId="0000000A">
      <w:pPr>
        <w:spacing w:line="240" w:lineRule="auto"/>
        <w:ind w:left="28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numPr>
          <w:ilvl w:val="0"/>
          <w:numId w:val="1"/>
        </w:numPr>
        <w:spacing w:line="240" w:lineRule="auto"/>
        <w:ind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H. Achmad Fauzi, M.Pd</w:t>
      </w:r>
      <w:r w:rsidDel="00000000" w:rsidR="00000000" w:rsidRPr="00000000">
        <w:rPr>
          <w:rFonts w:ascii="Calibri" w:cs="Calibri" w:eastAsia="Calibri" w:hAnsi="Calibri"/>
          <w:sz w:val="24"/>
          <w:szCs w:val="24"/>
          <w:rtl w:val="0"/>
        </w:rPr>
        <w:tab/>
        <w:t xml:space="preserve">……………………..</w:t>
        <w:tab/>
        <w:tab/>
        <w:tab/>
        <w:t xml:space="preserve">………………</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NBM. 103 725</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(Ketua)</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numPr>
          <w:ilvl w:val="0"/>
          <w:numId w:val="1"/>
        </w:numPr>
        <w:spacing w:line="240" w:lineRule="auto"/>
        <w:ind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Al Irsyadiyah, MA.</w:t>
      </w:r>
      <w:r w:rsidDel="00000000" w:rsidR="00000000" w:rsidRPr="00000000">
        <w:rPr>
          <w:rFonts w:ascii="Calibri" w:cs="Calibri" w:eastAsia="Calibri" w:hAnsi="Calibri"/>
          <w:sz w:val="24"/>
          <w:szCs w:val="24"/>
          <w:rtl w:val="0"/>
        </w:rPr>
        <w:tab/>
        <w:tab/>
        <w:t xml:space="preserve">……………………...</w:t>
        <w:tab/>
        <w:tab/>
        <w:tab/>
        <w:t xml:space="preserve">………………</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NBM. 973 016</w:t>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(Sekertaris)</w:t>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numPr>
          <w:ilvl w:val="0"/>
          <w:numId w:val="1"/>
        </w:numPr>
        <w:spacing w:line="240" w:lineRule="auto"/>
        <w:ind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H. Achmad Fauzi, M.Pd</w:t>
      </w:r>
      <w:r w:rsidDel="00000000" w:rsidR="00000000" w:rsidRPr="00000000">
        <w:rPr>
          <w:rFonts w:ascii="Calibri" w:cs="Calibri" w:eastAsia="Calibri" w:hAnsi="Calibri"/>
          <w:sz w:val="24"/>
          <w:szCs w:val="24"/>
          <w:rtl w:val="0"/>
        </w:rPr>
        <w:tab/>
        <w:t xml:space="preserve">……………………..</w:t>
        <w:tab/>
        <w:tab/>
        <w:tab/>
        <w:t xml:space="preserve">………………</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NBM. 103 725</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(Penguji I)</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1"/>
        </w:numPr>
        <w:spacing w:line="240" w:lineRule="auto"/>
        <w:ind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Yusrizal, M.Sy</w:t>
      </w:r>
      <w:r w:rsidDel="00000000" w:rsidR="00000000" w:rsidRPr="00000000">
        <w:rPr>
          <w:rFonts w:ascii="Calibri" w:cs="Calibri" w:eastAsia="Calibri" w:hAnsi="Calibri"/>
          <w:sz w:val="24"/>
          <w:szCs w:val="24"/>
          <w:rtl w:val="0"/>
        </w:rPr>
        <w:tab/>
        <w:t xml:space="preserve">            ……………………...</w:t>
        <w:tab/>
        <w:tab/>
        <w:tab/>
        <w:t xml:space="preserve">………………</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NBM. </w:t>
      </w:r>
      <w:r w:rsidDel="00000000" w:rsidR="00000000" w:rsidRPr="00000000">
        <w:rPr>
          <w:rFonts w:ascii="Times New Roman" w:cs="Times New Roman" w:eastAsia="Times New Roman" w:hAnsi="Times New Roman"/>
          <w:sz w:val="24"/>
          <w:szCs w:val="24"/>
          <w:rtl w:val="0"/>
        </w:rPr>
        <w:t xml:space="preserve">1102182</w:t>
      </w: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(Penguji II)</w:t>
      </w:r>
    </w:p>
    <w:p w:rsidR="00000000" w:rsidDel="00000000" w:rsidP="00000000" w:rsidRDefault="00000000" w:rsidRPr="00000000" w14:paraId="0000001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Mengetahui,</w:t>
      </w:r>
    </w:p>
    <w:p w:rsidR="00000000" w:rsidDel="00000000" w:rsidP="00000000" w:rsidRDefault="00000000" w:rsidRPr="00000000" w14:paraId="0000001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Dekan Fakultas Agama Islam</w:t>
      </w:r>
    </w:p>
    <w:p w:rsidR="00000000" w:rsidDel="00000000" w:rsidP="00000000" w:rsidRDefault="00000000" w:rsidRPr="00000000" w14:paraId="0000001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Universitas Muhammadiyah Tangerang</w:t>
      </w:r>
    </w:p>
    <w:p w:rsidR="00000000" w:rsidDel="00000000" w:rsidP="00000000" w:rsidRDefault="00000000" w:rsidRPr="00000000" w14:paraId="0000001F">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H. Saiman Sholeh, M.Pd</w:t>
      </w:r>
    </w:p>
    <w:p w:rsidR="00000000" w:rsidDel="00000000" w:rsidP="00000000" w:rsidRDefault="00000000" w:rsidRPr="00000000" w14:paraId="0000002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NBM. 672 290</w:t>
      </w:r>
    </w:p>
    <w:p w:rsidR="00000000" w:rsidDel="00000000" w:rsidP="00000000" w:rsidRDefault="00000000" w:rsidRPr="00000000" w14:paraId="00000026">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